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cs="Times New Roman"/>
          <w:sz w:val="48"/>
          <w:szCs w:val="52"/>
        </w:rPr>
      </w:pPr>
      <w:r>
        <w:rPr>
          <w:rFonts w:hint="eastAsia" w:ascii="黑体" w:hAnsi="宋体" w:eastAsia="黑体" w:cs="Times New Roman"/>
          <w:sz w:val="48"/>
          <w:szCs w:val="52"/>
          <w:lang w:val="en-US" w:eastAsia="zh-CN"/>
        </w:rPr>
        <w:t>污水站监控联网设备采购及安装</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cs="Times New Roman"/>
                <w:sz w:val="24"/>
                <w:szCs w:val="24"/>
                <w:lang w:val="en-US" w:eastAsia="zh-CN"/>
              </w:rPr>
              <w:t>污水站监控联网设备采购及安装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72B7AA1"/>
    <w:rsid w:val="6DA96A9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2023-10-18T06:09:42Z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